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6" w:rsidRPr="00B9135A" w:rsidRDefault="007E6126" w:rsidP="004B4DEB">
      <w:pPr>
        <w:suppressAutoHyphens/>
        <w:spacing w:after="0" w:line="240" w:lineRule="auto"/>
        <w:contextualSpacing/>
        <w:jc w:val="center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B9135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Wymagania edukacyjne na poszczególne oceny – </w:t>
      </w:r>
      <w:r w:rsidRPr="005F3DF5">
        <w:rPr>
          <w:rFonts w:eastAsia="Lucida Sans Unicode" w:cstheme="minorHAnsi"/>
          <w:b/>
          <w:i/>
          <w:kern w:val="1"/>
          <w:sz w:val="24"/>
          <w:szCs w:val="24"/>
          <w:lang w:eastAsia="ar-SA"/>
        </w:rPr>
        <w:t>Wczoraj i dziś</w:t>
      </w:r>
      <w:r w:rsidRPr="00B9135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 dla klasy </w:t>
      </w:r>
      <w:r>
        <w:rPr>
          <w:rFonts w:eastAsia="Lucida Sans Unicode" w:cstheme="minorHAnsi"/>
          <w:b/>
          <w:kern w:val="1"/>
          <w:sz w:val="24"/>
          <w:szCs w:val="24"/>
          <w:lang w:eastAsia="ar-SA"/>
        </w:rPr>
        <w:t>7</w:t>
      </w:r>
      <w:r w:rsidRPr="00B9135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 szkoły podstawowej</w:t>
      </w:r>
      <w:r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  NOWA EDYCJA                  </w:t>
      </w:r>
    </w:p>
    <w:p w:rsidR="00C7607C" w:rsidRPr="000C67C6" w:rsidRDefault="007E6126" w:rsidP="004B4DEB">
      <w:pPr>
        <w:spacing w:after="0" w:line="240" w:lineRule="auto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4B4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snapToGri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snapToGri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4B4DEB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4B4DEB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rozwój transportu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(wynalazki i ich zastosowania, obszary uprzemysłowienia,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zmiany struktury społecznej i warunków życia) (XIX.2)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udoskonalenia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Samuela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lastRenderedPageBreak/>
              <w:t>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:rsidR="00D92CE7" w:rsidRPr="000C67C6" w:rsidRDefault="00D92CE7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lastRenderedPageBreak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E424E3" w:rsidRPr="000C67C6" w:rsidRDefault="00E424E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spacing w:line="240" w:lineRule="auto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4B4DEB">
            <w:pPr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4B4DEB">
            <w:pPr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na mapiepaństwa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proces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4B4DEB">
            <w:pPr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konspiracja,kaliszanie 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działalność spiskowa po powstaniu listopadowym 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005A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4B4DEB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poglądy Gromad Ludu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Jakub Szela, Edward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4B4DEB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i skutki rabacji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4B4DEB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4B4DEB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4B4DEB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4B4DEB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demograficzny, napływ imigrantów,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osadnictwo i los rdzennych mieszkańców Ameryki Północnej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prezentuje przyczyny i skutki wojny secesyjnej w Stanach Zjednoczonych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(XXIII.2)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4B4DEB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lastRenderedPageBreak/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terminów: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4B4DEB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lastRenderedPageBreak/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spacing w:line="240" w:lineRule="auto"/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wojny z Austrią i rola Francji w procesie jednoczenia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Włoch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opisuje sytuację polityczną w Europie w drugiej połowie XIX wieku, w tym procesy zjednoczeniowe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Włoch i Niemiec (XXIII.1)</w:t>
            </w:r>
          </w:p>
          <w:p w:rsidR="0076497A" w:rsidRPr="000C67C6" w:rsidRDefault="0076497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4B4DEB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lastRenderedPageBreak/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 xml:space="preserve">Austrią (1866),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lastRenderedPageBreak/>
              <w:t>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spacing w:line="240" w:lineRule="auto"/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bitwy pod Sadową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Włochi Niemiec dla Europy;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zajęcia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Giuseppe Garibaldiego w procesie jednoczenia swoich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imperium kolonialne Wielkiej Brytanii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przyczyny, zasięg i następstwa ekspansji kolonialnej państw europejskich w XIX wieku (XXIII.3)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</w:r>
            <w:r w:rsidR="00773E5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tereny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świata, którepodlegały kolonizacjipod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4B4DEB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nacjonalistycznych 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4B4DEB">
            <w:pPr>
              <w:spacing w:line="240" w:lineRule="auto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budowa wielkich kanałów morskich i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znaczenie (Kanał Sueski i Panamski)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cechy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Kocha, Karla Benza,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literaturę i sztukę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przełomu XIX i XX w.</w:t>
            </w:r>
          </w:p>
          <w:p w:rsidR="00703E44" w:rsidRPr="000C67C6" w:rsidRDefault="00703E44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manifestacje patriotyczne i „rewolucja moralna” – wzrost aktywności politycznej polskiego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społeczeństwa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uwzględnieniem, jeśli to możliwe, przebiegu powstania w swoim regionie (XXII.2)</w:t>
            </w:r>
          </w:p>
          <w:p w:rsidR="00BC5EB7" w:rsidRPr="000C67C6" w:rsidRDefault="00BC5EB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świadomość narodowa Polaków pod zaborami i proces powstawania nowoczesnego narodu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polskiego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442EEF" w:rsidRDefault="00442EEF" w:rsidP="004B4DEB">
            <w:pPr>
              <w:spacing w:line="240" w:lineRule="auto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organizacji niepodległościowych (Związek Walki Czynnej, Związek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Strzelecki)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orientacji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Stanisława Wojciechowskiego, Stanisława Stojałowskiego, Franciszka Stefczyka, Marii 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Bolesława Wysłouchów;</w:t>
            </w:r>
          </w:p>
          <w:p w:rsidR="00407DB0" w:rsidRPr="000C67C6" w:rsidRDefault="00407DB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wkład w rozwój kultury polskiej przełomu wieków 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postacie:Henryka Sienkiewicza, Bolesława Prusa, Władysława Reymonta, Elizy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Orzeszkowej, Jana Matejki, Marii Konopnickiej,Stanisława Wyspiańskiego, Stefana Żeromskiego;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:rsidR="00E36BB0" w:rsidRPr="000C67C6" w:rsidRDefault="00E36BB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Prószyńskiego;</w:t>
            </w:r>
          </w:p>
          <w:p w:rsidR="00E36BB0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trójprzymierza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trójporozumienia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opisuje okolicznościpowstania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po rewolucji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skutki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wielki kryzys gospodarczy – przyczyny i jego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 cel powstania Ligi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represje i zbrodnie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nazistów w pierwszych latach sprawowania władzy w Niemczech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w jaki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stosunki sowiecko-niemieckie w okresie międzywojennym i znaczenie współpracy tych państw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cechy charakterystyczne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- rozwinie skrót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NKWD;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(1921), wielkiej czystki (1936–1938), kolektywizacji rolnictwa (1928), głodu na Ukrainie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(1932–1933);</w:t>
            </w:r>
          </w:p>
          <w:p w:rsidR="00F72B25" w:rsidRPr="000C67C6" w:rsidRDefault="00F72B2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F72B25" w:rsidRPr="000C67C6">
              <w:rPr>
                <w:rFonts w:cstheme="minorHAnsi"/>
                <w:sz w:val="20"/>
                <w:szCs w:val="20"/>
              </w:rPr>
              <w:lastRenderedPageBreak/>
              <w:t>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produkcja taśmowa, indoktrynacja, funkcjonalizm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4B4DE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4B4DEB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4B4DEB">
            <w:pPr>
              <w:spacing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4B4D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4B4DEB">
            <w:pPr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powstania wielkopolskiego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Symon Petlura, Lucjan Żeligowski, Wojciech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Powstania Wielkopolskiego i powstań śląskich (zachód) – federacyjny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dylemat a inkorporacyjny rezultat (wschód) (XXVIII.2)</w:t>
            </w:r>
          </w:p>
          <w:p w:rsidR="00BA7308" w:rsidRPr="000C67C6" w:rsidRDefault="00BA730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postacie: Romana Dmowskiego, Józefa Piłsudskiego;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, plebiscytu na Górnym Śląsku (20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III 1921), pierwszego powstania śląskiego (1919), drugiego powstania śląskiego (1920),trzeciego powstania śląskiego (1921);</w:t>
            </w:r>
          </w:p>
          <w:p w:rsidR="00731C44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LucjanaŻeligowskiego,Wincentego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lastRenderedPageBreak/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zasięg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lastRenderedPageBreak/>
              <w:t>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kształtowanie się granic odrodzonej Polski z wykorzystaniem mapy;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mała konstytucja, konstytucja marcowa, kontrasygnata, Kresy Wschodnie, dywersja,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Korpus Ochrony Pogranicza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Piłsudskiego,Romana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relacje Polski z Niemcami i ZSRR (traktat o nieagresji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ZSRR, deklaracja o niestosowaniu przemocy z Niemcami)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4E07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reformy gospodarcze dwudziestolecia międzywojennego – reformy W. Grabskiego (walutowa) i E. Kwiatkowskiego (budowa Gdyni oraz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COP)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skutki światowego kryzysu gospodarczego na ziemiach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(XXX.2)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- rozwinie skrót COP;</w:t>
            </w:r>
          </w:p>
          <w:p w:rsidR="00956F4B" w:rsidRPr="000C67C6" w:rsidRDefault="00956F4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 podstawie mapy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wymienia okręgi przemysłowe II Rzeczypospolitej;</w:t>
            </w:r>
          </w:p>
          <w:p w:rsidR="0087419A" w:rsidRPr="000C67C6" w:rsidRDefault="0087419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reformy walutowej Władysława Grabskiego (1924), rozpoczęcia budowy Gdyni (1921), rozpoczęcia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budowy COP-u (1937);</w:t>
            </w:r>
          </w:p>
          <w:p w:rsidR="00956F4B" w:rsidRPr="000C67C6" w:rsidRDefault="00956F4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gospodarczą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dorobek i twórcy polskiej kultury w dwudziestoleciu międzywojennym (literatura, poezja,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malarstwo, architektura)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Zofii Nałkowskiej, Marii Dąbrowskiej, Witolda Gombrowicza,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Juliana Tuwima;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Wigury; 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Mołotow i jego konsekwencje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konsekwencje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paktu Ribbentrop–Mołotow (XXXI.5)</w:t>
            </w:r>
          </w:p>
          <w:p w:rsidR="00D74E07" w:rsidRPr="000C67C6" w:rsidRDefault="00D74E07" w:rsidP="004B4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Zaolzie, obszary, które na mocy paktu Ribbentrop–Mołotow miały przypaść III Rzeszy i ZSRS;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relacje polsko-brytyjskie i polsko-francuskie w przededniu II wojny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światowej;</w:t>
            </w:r>
          </w:p>
          <w:p w:rsidR="007308EB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4B4DEB">
            <w:pPr>
              <w:autoSpaceDE w:val="0"/>
              <w:autoSpaceDN w:val="0"/>
              <w:adjustRightInd w:val="0"/>
              <w:spacing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4B4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 w:rsidP="004B4DEB">
      <w:pPr>
        <w:spacing w:line="240" w:lineRule="auto"/>
        <w:rPr>
          <w:sz w:val="20"/>
          <w:szCs w:val="20"/>
        </w:rPr>
      </w:pPr>
    </w:p>
    <w:p w:rsidR="003358A9" w:rsidRPr="000C67C6" w:rsidRDefault="00F3048B" w:rsidP="004B4DE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</w:t>
      </w:r>
      <w:r w:rsidR="004B4DEB">
        <w:rPr>
          <w:rFonts w:cstheme="minorHAnsi"/>
          <w:b/>
          <w:sz w:val="20"/>
          <w:szCs w:val="20"/>
        </w:rPr>
        <w:t>w</w:t>
      </w:r>
      <w:r>
        <w:rPr>
          <w:rFonts w:cstheme="minorHAnsi"/>
          <w:b/>
          <w:sz w:val="20"/>
          <w:szCs w:val="20"/>
        </w:rPr>
        <w:t xml:space="preserve"> </w:t>
      </w:r>
      <w:r w:rsidR="004B4DEB">
        <w:rPr>
          <w:rFonts w:cstheme="minorHAnsi"/>
          <w:b/>
          <w:sz w:val="20"/>
          <w:szCs w:val="20"/>
        </w:rPr>
        <w:t xml:space="preserve">oparciu o </w:t>
      </w:r>
      <w:r w:rsidR="003358A9" w:rsidRPr="000C67C6">
        <w:rPr>
          <w:rFonts w:cstheme="minorHAnsi"/>
          <w:b/>
          <w:sz w:val="20"/>
          <w:szCs w:val="20"/>
        </w:rPr>
        <w:t xml:space="preserve">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 w:rsidP="004B4DEB">
      <w:pPr>
        <w:spacing w:line="240" w:lineRule="auto"/>
        <w:rPr>
          <w:sz w:val="20"/>
          <w:szCs w:val="20"/>
        </w:rPr>
      </w:pPr>
    </w:p>
    <w:p w:rsidR="00942AD2" w:rsidRPr="000C67C6" w:rsidRDefault="00942AD2" w:rsidP="004B4DEB">
      <w:pPr>
        <w:spacing w:line="240" w:lineRule="auto"/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87" w:rsidRDefault="00015E87" w:rsidP="00254330">
      <w:pPr>
        <w:spacing w:after="0" w:line="240" w:lineRule="auto"/>
      </w:pPr>
      <w:r>
        <w:separator/>
      </w:r>
    </w:p>
  </w:endnote>
  <w:endnote w:type="continuationSeparator" w:id="0">
    <w:p w:rsidR="00015E87" w:rsidRDefault="00015E8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4B4DEB" w:rsidRDefault="004B4DE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7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DEB" w:rsidRDefault="004B4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87" w:rsidRDefault="00015E87" w:rsidP="00254330">
      <w:pPr>
        <w:spacing w:after="0" w:line="240" w:lineRule="auto"/>
      </w:pPr>
      <w:r>
        <w:separator/>
      </w:r>
    </w:p>
  </w:footnote>
  <w:footnote w:type="continuationSeparator" w:id="0">
    <w:p w:rsidR="00015E87" w:rsidRDefault="00015E87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15E87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3FF6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B4DEB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9786A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126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6AE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16D5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2815-6A18-4B22-90AD-0C133518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11340</Words>
  <Characters>68041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SP2-Vce</cp:lastModifiedBy>
  <cp:revision>2</cp:revision>
  <dcterms:created xsi:type="dcterms:W3CDTF">2022-12-23T09:37:00Z</dcterms:created>
  <dcterms:modified xsi:type="dcterms:W3CDTF">2022-12-23T09:37:00Z</dcterms:modified>
</cp:coreProperties>
</file>